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文安县环境卫生管理服务中心</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按照《预算法》、《地方预决算公开操作规程》和《河北省省级预算公开办法》规定，现将文安县环境卫生管理服务中心202</w:t>
      </w:r>
      <w:r>
        <w:rPr>
          <w:rFonts w:hint="eastAsia" w:ascii="仿宋" w:hAnsi="仿宋" w:eastAsia="仿宋" w:cs="仿宋"/>
          <w:sz w:val="32"/>
          <w:szCs w:val="32"/>
          <w:lang w:val="en-US" w:eastAsia="zh-CN"/>
        </w:rPr>
        <w:t>3</w:t>
      </w:r>
      <w:r>
        <w:rPr>
          <w:rFonts w:hint="eastAsia" w:ascii="仿宋" w:hAnsi="仿宋" w:eastAsia="仿宋" w:cs="仿宋"/>
          <w:sz w:val="32"/>
          <w:szCs w:val="32"/>
        </w:rPr>
        <w:t>年单位预算公开如下：</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一、单位职责及机构设置情况</w:t>
      </w:r>
    </w:p>
    <w:p>
      <w:pPr>
        <w:pStyle w:val="8"/>
        <w:shd w:val="clear" w:color="auto" w:fill="FFFFFF"/>
        <w:spacing w:line="405" w:lineRule="atLeast"/>
        <w:ind w:firstLine="636" w:firstLineChars="198"/>
        <w:rPr>
          <w:rFonts w:hint="eastAsia" w:ascii="仿宋" w:hAnsi="仿宋" w:eastAsia="仿宋" w:cs="仿宋"/>
          <w:b/>
          <w:sz w:val="32"/>
          <w:szCs w:val="32"/>
        </w:rPr>
      </w:pPr>
      <w:r>
        <w:rPr>
          <w:rFonts w:hint="eastAsia" w:ascii="仿宋" w:hAnsi="仿宋" w:eastAsia="仿宋" w:cs="仿宋"/>
          <w:b/>
          <w:sz w:val="32"/>
          <w:szCs w:val="32"/>
        </w:rPr>
        <w:t>单位职责：</w:t>
      </w:r>
    </w:p>
    <w:p>
      <w:pPr>
        <w:pStyle w:val="8"/>
        <w:shd w:val="clear" w:color="auto" w:fill="FFFFFF"/>
        <w:spacing w:line="405" w:lineRule="atLeast"/>
        <w:ind w:firstLine="633" w:firstLineChars="198"/>
        <w:rPr>
          <w:rFonts w:hint="eastAsia" w:ascii="仿宋" w:hAnsi="仿宋" w:eastAsia="仿宋" w:cs="仿宋"/>
          <w:b/>
          <w:sz w:val="32"/>
          <w:szCs w:val="32"/>
        </w:rPr>
      </w:pPr>
      <w:r>
        <w:rPr>
          <w:rFonts w:hint="eastAsia" w:ascii="仿宋" w:hAnsi="仿宋" w:eastAsia="仿宋" w:cs="仿宋"/>
          <w:sz w:val="32"/>
          <w:szCs w:val="32"/>
        </w:rPr>
        <w:t>负责拟定环卫事业发展规划；负责城区街道、公共场所的保洁工作；负责全县范围内环境卫生的监督考核工作；负责县城区范围内垃圾中转站、公共厕所等环卫设施项目建设；参与全县范围内环卫设施项目建设；负责管理生活垃圾、餐厨垃圾、建筑垃圾的收运处置；参与环卫行业的招投标和市场化管理。</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pStyle w:val="8"/>
        <w:shd w:val="clear" w:color="auto" w:fill="FFFFFF"/>
        <w:spacing w:line="405" w:lineRule="atLeast"/>
        <w:jc w:val="center"/>
        <w:rPr>
          <w:rFonts w:hint="eastAsia" w:ascii="黑体" w:hAnsi="Arial" w:eastAsia="黑体" w:cs="仿宋_GB2312"/>
          <w:color w:val="333333"/>
          <w:sz w:val="28"/>
          <w:szCs w:val="28"/>
          <w:shd w:val="clear" w:color="auto" w:fill="FFFFFF"/>
        </w:rPr>
      </w:pPr>
      <w:r>
        <w:rPr>
          <w:rFonts w:hint="eastAsia" w:ascii="黑体" w:hAnsi="Arial" w:eastAsia="黑体" w:cs="仿宋_GB2312"/>
          <w:color w:val="333333"/>
          <w:sz w:val="28"/>
          <w:szCs w:val="28"/>
          <w:shd w:val="clear" w:color="auto" w:fill="FFFFFF"/>
          <w:lang w:eastAsia="zh-CN"/>
        </w:rPr>
        <w:t>单位</w:t>
      </w:r>
      <w:r>
        <w:rPr>
          <w:rFonts w:hint="eastAsia" w:ascii="黑体" w:hAnsi="Arial" w:eastAsia="黑体" w:cs="仿宋_GB2312"/>
          <w:color w:val="333333"/>
          <w:sz w:val="28"/>
          <w:szCs w:val="28"/>
          <w:shd w:val="clear" w:color="auto" w:fill="FFFFFF"/>
        </w:rPr>
        <w:t>机构设置情况</w:t>
      </w:r>
    </w:p>
    <w:tbl>
      <w:tblPr>
        <w:tblStyle w:val="9"/>
        <w:tblW w:w="0" w:type="auto"/>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250"/>
        <w:gridCol w:w="1830"/>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225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83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5228"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文安县环境卫生管理服务中心</w:t>
            </w:r>
          </w:p>
        </w:tc>
        <w:tc>
          <w:tcPr>
            <w:tcW w:w="225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事业</w:t>
            </w:r>
          </w:p>
        </w:tc>
        <w:tc>
          <w:tcPr>
            <w:tcW w:w="183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其他</w:t>
            </w:r>
          </w:p>
        </w:tc>
        <w:tc>
          <w:tcPr>
            <w:tcW w:w="5228" w:type="dxa"/>
            <w:noWrap w:val="0"/>
            <w:vAlign w:val="center"/>
          </w:tcPr>
          <w:p>
            <w:pPr>
              <w:pStyle w:val="8"/>
              <w:spacing w:line="405" w:lineRule="atLeast"/>
              <w:jc w:val="center"/>
              <w:rPr>
                <w:rFonts w:hint="eastAsia" w:ascii="仿宋_GB2312" w:hAnsi="Arial" w:eastAsia="仿宋_GB2312" w:cs="Arial"/>
                <w:color w:val="333333"/>
                <w:sz w:val="21"/>
                <w:szCs w:val="21"/>
                <w:shd w:val="clear" w:color="auto" w:fill="FFFFFF"/>
              </w:rPr>
            </w:pPr>
            <w:r>
              <w:rPr>
                <w:rFonts w:hint="eastAsia" w:ascii="仿宋_GB2312" w:hAnsi="Arial" w:eastAsia="仿宋_GB2312" w:cs="Arial"/>
                <w:color w:val="333333"/>
                <w:sz w:val="24"/>
                <w:szCs w:val="24"/>
                <w:shd w:val="clear" w:color="auto" w:fill="FFFFFF"/>
              </w:rPr>
              <w:t>财政性资金基本保证</w:t>
            </w:r>
          </w:p>
        </w:tc>
      </w:tr>
    </w:tbl>
    <w:p>
      <w:pPr>
        <w:spacing w:before="156" w:beforeLines="50" w:after="156" w:afterLines="50"/>
        <w:ind w:firstLine="640" w:firstLineChars="200"/>
        <w:jc w:val="left"/>
        <w:rPr>
          <w:rFonts w:hint="eastAsia" w:ascii="黑体" w:hAnsi="黑体" w:eastAsia="黑体"/>
          <w:sz w:val="32"/>
        </w:rPr>
      </w:pPr>
    </w:p>
    <w:p>
      <w:pPr>
        <w:spacing w:before="156" w:beforeLines="50" w:after="156" w:afterLines="50"/>
        <w:ind w:firstLine="640" w:firstLineChars="200"/>
        <w:jc w:val="left"/>
        <w:rPr>
          <w:rFonts w:hint="eastAsia" w:ascii="黑体" w:hAnsi="黑体" w:eastAsia="黑体"/>
          <w:sz w:val="32"/>
        </w:rPr>
      </w:pP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二、单位预算安排的总体情况</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按照预算管理有关规定，目前我省单位预算的编制实行综合预算管理，即全部收入和支出都反映在预算中。文安县环境卫生管理服务中心的收支包含在单位预算中。</w:t>
      </w:r>
    </w:p>
    <w:p>
      <w:pPr>
        <w:pStyle w:val="8"/>
        <w:shd w:val="clear" w:color="auto" w:fill="FFFFFF"/>
        <w:spacing w:line="405" w:lineRule="atLeast"/>
        <w:ind w:firstLine="630" w:firstLineChars="196"/>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1、收入说明</w:t>
      </w:r>
    </w:p>
    <w:p>
      <w:pPr>
        <w:pStyle w:val="8"/>
        <w:shd w:val="clear" w:color="auto" w:fill="FFFFFF"/>
        <w:spacing w:line="405" w:lineRule="atLeas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202</w:t>
      </w:r>
      <w:r>
        <w:rPr>
          <w:rFonts w:hint="eastAsia" w:ascii="仿宋" w:hAnsi="仿宋" w:eastAsia="仿宋" w:cs="仿宋"/>
          <w:kern w:val="2"/>
          <w:sz w:val="32"/>
          <w:szCs w:val="32"/>
          <w:lang w:val="en-US" w:eastAsia="zh-CN"/>
        </w:rPr>
        <w:t>3</w:t>
      </w:r>
      <w:bookmarkStart w:id="1" w:name="_GoBack"/>
      <w:bookmarkEnd w:id="1"/>
      <w:r>
        <w:rPr>
          <w:rFonts w:hint="eastAsia" w:ascii="仿宋" w:hAnsi="仿宋" w:eastAsia="仿宋" w:cs="仿宋"/>
          <w:kern w:val="2"/>
          <w:sz w:val="32"/>
          <w:szCs w:val="32"/>
        </w:rPr>
        <w:t>年预算收入</w:t>
      </w:r>
      <w:r>
        <w:rPr>
          <w:rFonts w:hint="eastAsia" w:ascii="仿宋" w:hAnsi="仿宋" w:eastAsia="仿宋" w:cs="仿宋"/>
          <w:kern w:val="2"/>
          <w:sz w:val="32"/>
          <w:szCs w:val="32"/>
          <w:lang w:val="en-US" w:eastAsia="zh-CN"/>
        </w:rPr>
        <w:t>587.19</w:t>
      </w:r>
      <w:r>
        <w:rPr>
          <w:rFonts w:hint="eastAsia" w:ascii="仿宋" w:hAnsi="仿宋" w:eastAsia="仿宋" w:cs="仿宋"/>
          <w:kern w:val="2"/>
          <w:sz w:val="32"/>
          <w:szCs w:val="32"/>
        </w:rPr>
        <w:t>万元，其中：一般公共预算收入</w:t>
      </w:r>
      <w:r>
        <w:rPr>
          <w:rFonts w:hint="eastAsia" w:ascii="仿宋" w:hAnsi="仿宋" w:eastAsia="仿宋" w:cs="仿宋"/>
          <w:kern w:val="2"/>
          <w:sz w:val="32"/>
          <w:szCs w:val="32"/>
          <w:lang w:val="en-US" w:eastAsia="zh-CN"/>
        </w:rPr>
        <w:t>587.19</w:t>
      </w:r>
      <w:r>
        <w:rPr>
          <w:rFonts w:hint="eastAsia" w:ascii="仿宋" w:hAnsi="仿宋" w:eastAsia="仿宋" w:cs="仿宋"/>
          <w:kern w:val="2"/>
          <w:sz w:val="32"/>
          <w:szCs w:val="32"/>
        </w:rPr>
        <w:t>万元，政府性基金收入</w:t>
      </w:r>
      <w:r>
        <w:rPr>
          <w:rFonts w:hint="eastAsia" w:ascii="仿宋" w:hAnsi="仿宋" w:eastAsia="仿宋" w:cs="仿宋"/>
          <w:kern w:val="2"/>
          <w:sz w:val="32"/>
          <w:szCs w:val="32"/>
          <w:lang w:val="en-US" w:eastAsia="zh-CN"/>
        </w:rPr>
        <w:t>0</w:t>
      </w:r>
      <w:r>
        <w:rPr>
          <w:rFonts w:hint="eastAsia" w:ascii="仿宋" w:hAnsi="仿宋" w:eastAsia="仿宋" w:cs="仿宋"/>
          <w:kern w:val="2"/>
          <w:sz w:val="32"/>
          <w:szCs w:val="32"/>
        </w:rPr>
        <w:t>万元，国有资本经营收入0万元，事业收入0万元，上级补助收入0万元，其他收入0万元。</w:t>
      </w:r>
    </w:p>
    <w:p>
      <w:pPr>
        <w:pStyle w:val="8"/>
        <w:shd w:val="clear" w:color="auto" w:fill="FFFFFF"/>
        <w:spacing w:line="405" w:lineRule="atLeast"/>
        <w:ind w:firstLine="636" w:firstLineChars="198"/>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2、支出说明</w:t>
      </w:r>
    </w:p>
    <w:p>
      <w:pPr>
        <w:pStyle w:val="8"/>
        <w:shd w:val="clear" w:color="auto" w:fill="FFFFFF"/>
        <w:spacing w:line="405" w:lineRule="atLeast"/>
        <w:ind w:firstLine="633" w:firstLineChars="198"/>
        <w:rPr>
          <w:rFonts w:hint="eastAsia" w:ascii="仿宋" w:hAnsi="仿宋" w:eastAsia="仿宋" w:cs="仿宋"/>
          <w:kern w:val="2"/>
          <w:sz w:val="32"/>
          <w:szCs w:val="32"/>
        </w:rPr>
      </w:pPr>
      <w:r>
        <w:rPr>
          <w:rFonts w:hint="eastAsia" w:ascii="仿宋" w:hAnsi="仿宋" w:eastAsia="仿宋" w:cs="仿宋"/>
          <w:kern w:val="2"/>
          <w:sz w:val="32"/>
          <w:szCs w:val="32"/>
        </w:rPr>
        <w:t>收支预算总表支出栏、基本支出表、项目支出表按经济分类和支出功能分类科目编制，反映河北省廊坊市文安县环境卫生管理服务中心202</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年度</w:t>
      </w:r>
      <w:r>
        <w:rPr>
          <w:rFonts w:hint="eastAsia" w:ascii="仿宋" w:hAnsi="仿宋" w:eastAsia="仿宋" w:cs="仿宋"/>
          <w:kern w:val="2"/>
          <w:sz w:val="32"/>
          <w:szCs w:val="32"/>
          <w:lang w:eastAsia="zh-CN"/>
        </w:rPr>
        <w:t>单位</w:t>
      </w:r>
      <w:r>
        <w:rPr>
          <w:rFonts w:hint="eastAsia" w:ascii="仿宋" w:hAnsi="仿宋" w:eastAsia="仿宋" w:cs="仿宋"/>
          <w:kern w:val="2"/>
          <w:sz w:val="32"/>
          <w:szCs w:val="32"/>
        </w:rPr>
        <w:t>预算中支出预算的总体情况。202</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年支出预算</w:t>
      </w:r>
      <w:r>
        <w:rPr>
          <w:rFonts w:hint="eastAsia" w:ascii="仿宋" w:hAnsi="仿宋" w:eastAsia="仿宋" w:cs="仿宋"/>
          <w:kern w:val="2"/>
          <w:sz w:val="32"/>
          <w:szCs w:val="32"/>
          <w:lang w:val="en-US" w:eastAsia="zh-CN"/>
        </w:rPr>
        <w:t>587.19</w:t>
      </w:r>
      <w:r>
        <w:rPr>
          <w:rFonts w:hint="eastAsia" w:ascii="仿宋" w:hAnsi="仿宋" w:eastAsia="仿宋" w:cs="仿宋"/>
          <w:kern w:val="2"/>
          <w:sz w:val="32"/>
          <w:szCs w:val="32"/>
        </w:rPr>
        <w:t>万元，其中：基本支出</w:t>
      </w:r>
      <w:r>
        <w:rPr>
          <w:rFonts w:hint="eastAsia" w:ascii="仿宋" w:hAnsi="仿宋" w:eastAsia="仿宋" w:cs="仿宋"/>
          <w:kern w:val="2"/>
          <w:sz w:val="32"/>
          <w:szCs w:val="32"/>
          <w:lang w:val="en-US" w:eastAsia="zh-CN"/>
        </w:rPr>
        <w:t>587.19</w:t>
      </w:r>
      <w:r>
        <w:rPr>
          <w:rFonts w:hint="eastAsia" w:ascii="仿宋" w:hAnsi="仿宋" w:eastAsia="仿宋" w:cs="仿宋"/>
          <w:kern w:val="2"/>
          <w:sz w:val="32"/>
          <w:szCs w:val="32"/>
        </w:rPr>
        <w:t>万元，包括人员经费</w:t>
      </w:r>
      <w:r>
        <w:rPr>
          <w:rFonts w:hint="eastAsia" w:ascii="仿宋" w:hAnsi="仿宋" w:eastAsia="仿宋" w:cs="仿宋"/>
          <w:kern w:val="2"/>
          <w:sz w:val="32"/>
          <w:szCs w:val="32"/>
          <w:lang w:val="en-US" w:eastAsia="zh-CN"/>
        </w:rPr>
        <w:t>561.69</w:t>
      </w:r>
      <w:r>
        <w:rPr>
          <w:rFonts w:hint="eastAsia" w:ascii="仿宋" w:hAnsi="仿宋" w:eastAsia="仿宋" w:cs="仿宋"/>
          <w:kern w:val="2"/>
          <w:sz w:val="32"/>
          <w:szCs w:val="32"/>
        </w:rPr>
        <w:t>万元和日常公用经费</w:t>
      </w:r>
      <w:r>
        <w:rPr>
          <w:rFonts w:hint="eastAsia" w:ascii="仿宋" w:hAnsi="仿宋" w:eastAsia="仿宋" w:cs="仿宋"/>
          <w:kern w:val="2"/>
          <w:sz w:val="32"/>
          <w:szCs w:val="32"/>
          <w:lang w:val="en-US" w:eastAsia="zh-CN"/>
        </w:rPr>
        <w:t>25.50</w:t>
      </w:r>
      <w:r>
        <w:rPr>
          <w:rFonts w:hint="eastAsia" w:ascii="仿宋" w:hAnsi="仿宋" w:eastAsia="仿宋" w:cs="仿宋"/>
          <w:kern w:val="2"/>
          <w:sz w:val="32"/>
          <w:szCs w:val="32"/>
        </w:rPr>
        <w:t>万元；项目支出</w:t>
      </w:r>
      <w:r>
        <w:rPr>
          <w:rFonts w:hint="eastAsia" w:ascii="仿宋" w:hAnsi="仿宋" w:eastAsia="仿宋" w:cs="仿宋"/>
          <w:kern w:val="2"/>
          <w:sz w:val="32"/>
          <w:szCs w:val="32"/>
          <w:lang w:val="en-US" w:eastAsia="zh-CN"/>
        </w:rPr>
        <w:t>0</w:t>
      </w:r>
      <w:r>
        <w:rPr>
          <w:rFonts w:hint="eastAsia" w:ascii="仿宋" w:hAnsi="仿宋" w:eastAsia="仿宋" w:cs="仿宋"/>
          <w:kern w:val="2"/>
          <w:sz w:val="32"/>
          <w:szCs w:val="32"/>
        </w:rPr>
        <w:t>万元。</w:t>
      </w:r>
    </w:p>
    <w:p>
      <w:pPr>
        <w:pStyle w:val="8"/>
        <w:shd w:val="clear" w:color="auto" w:fill="FFFFFF"/>
        <w:spacing w:line="405" w:lineRule="atLeast"/>
        <w:ind w:firstLine="636" w:firstLineChars="198"/>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3、比上年增减变化情况</w:t>
      </w:r>
    </w:p>
    <w:p>
      <w:pPr>
        <w:pStyle w:val="8"/>
        <w:shd w:val="clear" w:color="auto" w:fill="FFFFFF"/>
        <w:spacing w:line="405" w:lineRule="atLeas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202</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年预算收支安排</w:t>
      </w:r>
      <w:r>
        <w:rPr>
          <w:rFonts w:hint="eastAsia" w:ascii="仿宋" w:hAnsi="仿宋" w:eastAsia="仿宋" w:cs="仿宋"/>
          <w:kern w:val="2"/>
          <w:sz w:val="32"/>
          <w:szCs w:val="32"/>
          <w:lang w:val="en-US" w:eastAsia="zh-CN"/>
        </w:rPr>
        <w:t>587.19</w:t>
      </w:r>
      <w:r>
        <w:rPr>
          <w:rFonts w:hint="eastAsia" w:ascii="仿宋" w:hAnsi="仿宋" w:eastAsia="仿宋" w:cs="仿宋"/>
          <w:kern w:val="2"/>
          <w:sz w:val="32"/>
          <w:szCs w:val="32"/>
        </w:rPr>
        <w:t>万元，较202</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年预算</w:t>
      </w:r>
      <w:r>
        <w:rPr>
          <w:rFonts w:hint="eastAsia" w:ascii="仿宋" w:hAnsi="仿宋" w:eastAsia="仿宋" w:cs="仿宋"/>
          <w:kern w:val="2"/>
          <w:sz w:val="32"/>
          <w:szCs w:val="32"/>
          <w:lang w:eastAsia="zh-CN"/>
        </w:rPr>
        <w:t>减少</w:t>
      </w:r>
      <w:r>
        <w:rPr>
          <w:rFonts w:hint="eastAsia" w:ascii="仿宋" w:hAnsi="仿宋" w:eastAsia="仿宋" w:cs="仿宋"/>
          <w:kern w:val="2"/>
          <w:sz w:val="32"/>
          <w:szCs w:val="32"/>
          <w:lang w:val="en-US" w:eastAsia="zh-CN"/>
        </w:rPr>
        <w:t>886.74</w:t>
      </w:r>
      <w:r>
        <w:rPr>
          <w:rFonts w:hint="eastAsia" w:ascii="仿宋" w:hAnsi="仿宋" w:eastAsia="仿宋" w:cs="仿宋"/>
          <w:kern w:val="2"/>
          <w:sz w:val="32"/>
          <w:szCs w:val="32"/>
        </w:rPr>
        <w:t>万元，主要是</w:t>
      </w:r>
      <w:r>
        <w:rPr>
          <w:rFonts w:hint="eastAsia" w:ascii="仿宋" w:hAnsi="仿宋" w:eastAsia="仿宋" w:cs="仿宋"/>
          <w:kern w:val="2"/>
          <w:sz w:val="32"/>
          <w:szCs w:val="32"/>
          <w:lang w:eastAsia="zh-CN"/>
        </w:rPr>
        <w:t>城区环境卫生运行费的减少</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三、机关运行经费安排情况</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年我单位安排机关运行经费共计</w:t>
      </w:r>
      <w:r>
        <w:rPr>
          <w:rFonts w:hint="eastAsia" w:ascii="仿宋" w:hAnsi="仿宋" w:eastAsia="仿宋" w:cs="仿宋"/>
          <w:sz w:val="32"/>
          <w:szCs w:val="32"/>
          <w:lang w:val="en-US" w:eastAsia="zh-CN"/>
        </w:rPr>
        <w:t>25.50</w:t>
      </w:r>
      <w:r>
        <w:rPr>
          <w:rFonts w:hint="eastAsia" w:ascii="仿宋" w:hAnsi="仿宋" w:eastAsia="仿宋" w:cs="仿宋"/>
          <w:sz w:val="32"/>
          <w:szCs w:val="32"/>
        </w:rPr>
        <w:t>万元，主要用于</w:t>
      </w:r>
      <w:r>
        <w:rPr>
          <w:rFonts w:hint="eastAsia" w:ascii="仿宋" w:hAnsi="仿宋" w:eastAsia="仿宋" w:cs="仿宋"/>
          <w:sz w:val="32"/>
          <w:szCs w:val="32"/>
          <w:lang w:eastAsia="zh-CN"/>
        </w:rPr>
        <w:t>我单位</w:t>
      </w:r>
      <w:r>
        <w:rPr>
          <w:rFonts w:hint="eastAsia" w:ascii="仿宋" w:hAnsi="仿宋" w:eastAsia="仿宋" w:cs="仿宋"/>
          <w:sz w:val="32"/>
          <w:szCs w:val="32"/>
        </w:rPr>
        <w:t>办公用</w:t>
      </w:r>
      <w:r>
        <w:rPr>
          <w:rFonts w:hint="eastAsia" w:ascii="仿宋" w:hAnsi="仿宋" w:eastAsia="仿宋" w:cs="仿宋"/>
          <w:sz w:val="32"/>
          <w:szCs w:val="32"/>
          <w:lang w:eastAsia="zh-CN"/>
        </w:rPr>
        <w:t>品采购、工会经费和福利费的支出</w:t>
      </w:r>
      <w:r>
        <w:rPr>
          <w:rFonts w:hint="eastAsia" w:ascii="仿宋" w:hAnsi="仿宋" w:eastAsia="仿宋" w:cs="仿宋"/>
          <w:sz w:val="32"/>
          <w:szCs w:val="32"/>
        </w:rPr>
        <w:t>。</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四、财政拨款</w:t>
      </w:r>
      <w:r>
        <w:rPr>
          <w:rFonts w:hint="cs" w:ascii="黑体" w:hAnsi="黑体" w:eastAsia="黑体"/>
          <w:sz w:val="32"/>
          <w:cs/>
        </w:rPr>
        <w:t>“</w:t>
      </w:r>
      <w:r>
        <w:rPr>
          <w:rFonts w:hint="eastAsia" w:ascii="黑体" w:hAnsi="黑体" w:eastAsia="黑体"/>
          <w:sz w:val="32"/>
        </w:rPr>
        <w:t>三公</w:t>
      </w:r>
      <w:r>
        <w:rPr>
          <w:rFonts w:hint="cs" w:ascii="黑体" w:hAnsi="黑体" w:eastAsia="黑体"/>
          <w:sz w:val="32"/>
          <w:cs/>
        </w:rPr>
        <w:t>”</w:t>
      </w:r>
      <w:r>
        <w:rPr>
          <w:rFonts w:hint="eastAsia" w:ascii="黑体" w:hAnsi="黑体" w:eastAsia="黑体"/>
          <w:sz w:val="32"/>
        </w:rPr>
        <w:t>经费预算情况及增减变化原因</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我单位本年度无“三公经费”，与上一年度持平。</w:t>
      </w:r>
    </w:p>
    <w:p>
      <w:pPr>
        <w:numPr>
          <w:ilvl w:val="0"/>
          <w:numId w:val="1"/>
        </w:numPr>
        <w:spacing w:line="500" w:lineRule="exact"/>
        <w:ind w:firstLine="640" w:firstLineChars="200"/>
        <w:jc w:val="left"/>
        <w:rPr>
          <w:rFonts w:hint="eastAsia" w:ascii="方正仿宋_GBK" w:hAnsi="方正仿宋_GBK" w:eastAsia="方正仿宋_GBK" w:cs="方正仿宋_GBK"/>
          <w:color w:val="000000"/>
          <w:sz w:val="28"/>
          <w:lang w:val="en-US" w:eastAsia="zh-CN"/>
        </w:rPr>
      </w:pPr>
      <w:r>
        <w:rPr>
          <w:rFonts w:ascii="Times New Roman" w:hAnsi="Times New Roman" w:eastAsia="黑体" w:cs="Times New Roman"/>
          <w:sz w:val="32"/>
          <w:szCs w:val="32"/>
        </w:rPr>
        <w:t>绩效预算信息</w:t>
      </w:r>
      <w:bookmarkStart w:id="0" w:name="_Toc_4_4_0000000042"/>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color w:val="000000" w:themeColor="text1"/>
          <w:sz w:val="32"/>
          <w:szCs w:val="32"/>
          <w:highlight w:val="none"/>
          <w14:textFill>
            <w14:solidFill>
              <w14:schemeClr w14:val="tx1"/>
            </w14:solidFill>
          </w14:textFill>
        </w:rPr>
      </w:pPr>
      <w:r>
        <w:rPr>
          <w:rFonts w:hint="eastAsia" w:ascii="楷体_GB2312" w:eastAsia="楷体_GB2312" w:cs="Times New Roman"/>
          <w:b/>
          <w:color w:val="000000" w:themeColor="text1"/>
          <w:sz w:val="32"/>
          <w:szCs w:val="32"/>
          <w:highlight w:val="none"/>
          <w14:textFill>
            <w14:solidFill>
              <w14:schemeClr w14:val="tx1"/>
            </w14:solidFill>
          </w14:textFill>
        </w:rPr>
        <w:t>（一）总体绩效目标</w:t>
      </w:r>
    </w:p>
    <w:p>
      <w:pPr>
        <w:spacing w:line="405" w:lineRule="atLeast"/>
        <w:ind w:firstLine="640" w:firstLineChars="200"/>
        <w:jc w:val="left"/>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pP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202</w:t>
      </w:r>
      <w:r>
        <w:rPr>
          <w:rFonts w:hint="eastAsia" w:ascii="仿宋_GB2312" w:hAnsi="Arial" w:eastAsia="仿宋_GB2312" w:cs="仿宋_GB2312"/>
          <w:color w:val="000000" w:themeColor="text1"/>
          <w:kern w:val="0"/>
          <w:sz w:val="32"/>
          <w:szCs w:val="32"/>
          <w:highlight w:val="none"/>
          <w:shd w:val="clear" w:color="auto" w:fill="FFFFFF"/>
          <w:lang w:val="en-US" w:eastAsia="zh-CN"/>
          <w14:textFill>
            <w14:solidFill>
              <w14:schemeClr w14:val="tx1"/>
            </w14:solidFill>
          </w14:textFill>
        </w:rPr>
        <w:t>3</w:t>
      </w: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年，</w:t>
      </w:r>
      <w:r>
        <w:rPr>
          <w:rFonts w:hint="eastAsia" w:ascii="仿宋_GB2312" w:hAnsi="Arial" w:eastAsia="仿宋_GB2312" w:cs="仿宋_GB2312"/>
          <w:color w:val="000000" w:themeColor="text1"/>
          <w:kern w:val="0"/>
          <w:sz w:val="32"/>
          <w:szCs w:val="32"/>
          <w:highlight w:val="none"/>
          <w:shd w:val="clear" w:color="auto" w:fill="FFFFFF"/>
          <w:lang w:eastAsia="zh-CN"/>
          <w14:textFill>
            <w14:solidFill>
              <w14:schemeClr w14:val="tx1"/>
            </w14:solidFill>
          </w14:textFill>
        </w:rPr>
        <w:t>我单位</w:t>
      </w: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将深入贯彻市县工作部署，坚持思想观念创新、体制机制创新、管理手段创新，提升环卫保洁</w:t>
      </w:r>
      <w:r>
        <w:rPr>
          <w:rFonts w:hint="eastAsia" w:ascii="仿宋_GB2312" w:hAnsi="Arial" w:eastAsia="仿宋_GB2312" w:cs="仿宋_GB2312"/>
          <w:color w:val="000000" w:themeColor="text1"/>
          <w:kern w:val="0"/>
          <w:sz w:val="32"/>
          <w:szCs w:val="32"/>
          <w:highlight w:val="none"/>
          <w:shd w:val="clear" w:color="auto" w:fill="FFFFFF"/>
          <w:lang w:eastAsia="zh-CN"/>
          <w14:textFill>
            <w14:solidFill>
              <w14:schemeClr w14:val="tx1"/>
            </w14:solidFill>
          </w14:textFill>
        </w:rPr>
        <w:t>，做好城乡环卫一体化的监督工作</w:t>
      </w: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w:t>
      </w:r>
    </w:p>
    <w:p>
      <w:pPr>
        <w:ind w:firstLine="643" w:firstLineChars="200"/>
        <w:rPr>
          <w:rFonts w:hint="eastAsia" w:ascii="楷体_GB2312" w:eastAsia="楷体_GB2312"/>
          <w:b/>
          <w:color w:val="000000" w:themeColor="text1"/>
          <w:sz w:val="32"/>
          <w:szCs w:val="32"/>
          <w:highlight w:val="none"/>
          <w14:textFill>
            <w14:solidFill>
              <w14:schemeClr w14:val="tx1"/>
            </w14:solidFill>
          </w14:textFill>
        </w:rPr>
      </w:pPr>
      <w:r>
        <w:rPr>
          <w:rFonts w:hint="eastAsia" w:ascii="楷体_GB2312" w:eastAsia="楷体_GB2312"/>
          <w:b/>
          <w:color w:val="000000" w:themeColor="text1"/>
          <w:sz w:val="32"/>
          <w:szCs w:val="32"/>
          <w:highlight w:val="none"/>
          <w14:textFill>
            <w14:solidFill>
              <w14:schemeClr w14:val="tx1"/>
            </w14:solidFill>
          </w14:textFill>
        </w:rPr>
        <w:t>（</w:t>
      </w:r>
      <w:r>
        <w:rPr>
          <w:rFonts w:hint="eastAsia" w:ascii="楷体_GB2312" w:eastAsia="楷体_GB2312"/>
          <w:b/>
          <w:color w:val="000000" w:themeColor="text1"/>
          <w:sz w:val="32"/>
          <w:szCs w:val="32"/>
          <w:highlight w:val="none"/>
          <w:lang w:eastAsia="zh-CN"/>
          <w14:textFill>
            <w14:solidFill>
              <w14:schemeClr w14:val="tx1"/>
            </w14:solidFill>
          </w14:textFill>
        </w:rPr>
        <w:t>二</w:t>
      </w:r>
      <w:r>
        <w:rPr>
          <w:rFonts w:hint="eastAsia" w:ascii="楷体_GB2312" w:eastAsia="楷体_GB2312"/>
          <w:b/>
          <w:color w:val="000000" w:themeColor="text1"/>
          <w:sz w:val="32"/>
          <w:szCs w:val="32"/>
          <w:highlight w:val="none"/>
          <w14:textFill>
            <w14:solidFill>
              <w14:schemeClr w14:val="tx1"/>
            </w14:solidFill>
          </w14:textFill>
        </w:rPr>
        <w:t>）工作保障措施</w:t>
      </w:r>
    </w:p>
    <w:p>
      <w:pPr>
        <w:spacing w:line="405" w:lineRule="atLeast"/>
        <w:ind w:firstLine="640" w:firstLineChars="200"/>
        <w:jc w:val="left"/>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pP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202</w:t>
      </w:r>
      <w:r>
        <w:rPr>
          <w:rFonts w:hint="eastAsia" w:ascii="仿宋_GB2312" w:hAnsi="Arial" w:eastAsia="仿宋_GB2312" w:cs="仿宋_GB2312"/>
          <w:color w:val="000000" w:themeColor="text1"/>
          <w:kern w:val="0"/>
          <w:sz w:val="32"/>
          <w:szCs w:val="32"/>
          <w:highlight w:val="none"/>
          <w:shd w:val="clear" w:color="auto" w:fill="FFFFFF"/>
          <w:lang w:val="en-US" w:eastAsia="zh-CN"/>
          <w14:textFill>
            <w14:solidFill>
              <w14:schemeClr w14:val="tx1"/>
            </w14:solidFill>
          </w14:textFill>
        </w:rPr>
        <w:t>3</w:t>
      </w: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年，我</w:t>
      </w:r>
      <w:r>
        <w:rPr>
          <w:rFonts w:hint="eastAsia" w:ascii="仿宋_GB2312" w:hAnsi="Arial" w:eastAsia="仿宋_GB2312" w:cs="仿宋_GB2312"/>
          <w:color w:val="000000" w:themeColor="text1"/>
          <w:kern w:val="0"/>
          <w:sz w:val="32"/>
          <w:szCs w:val="32"/>
          <w:highlight w:val="none"/>
          <w:shd w:val="clear" w:color="auto" w:fill="FFFFFF"/>
          <w:lang w:eastAsia="zh-CN"/>
          <w14:textFill>
            <w14:solidFill>
              <w14:schemeClr w14:val="tx1"/>
            </w14:solidFill>
          </w14:textFill>
        </w:rPr>
        <w:t>单位</w:t>
      </w: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将深入贯彻市县工作部署，以“创城必胜的信念”为总基调，坚持思想观念创新、体制机制创新、管理手段创新，力求管理实现新突破，运作机制实现新发展，长效管理实现新举措，环境品位实现新提高。</w:t>
      </w:r>
    </w:p>
    <w:p>
      <w:pPr>
        <w:spacing w:line="405" w:lineRule="atLeast"/>
        <w:ind w:firstLine="640" w:firstLineChars="200"/>
        <w:jc w:val="left"/>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pP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（一）完善制度建设。制定并完善预算绩效管理制度、财务管理制度等，为全年预算绩效目标的实现奠定制度基础。</w:t>
      </w:r>
    </w:p>
    <w:p>
      <w:pPr>
        <w:spacing w:line="405" w:lineRule="atLeast"/>
        <w:ind w:firstLine="640" w:firstLineChars="200"/>
        <w:jc w:val="left"/>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pP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（二）加强支出管理。通过优化支出结构、编细编实预算、加快履行政府采购手续、尽快启动项目、及时支付资金、6月底前细化代编预算、按规定及时下达资金等多种措施，确保支出进度达标。</w:t>
      </w:r>
    </w:p>
    <w:p>
      <w:pPr>
        <w:spacing w:line="405" w:lineRule="atLeast"/>
        <w:ind w:firstLine="640" w:firstLineChars="200"/>
        <w:jc w:val="left"/>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pP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（三）加强绩效运行监控。按要求开展绩效运行监控，发现问题及时采取措施，确保绩效目标如期保质实现。</w:t>
      </w:r>
    </w:p>
    <w:p>
      <w:pPr>
        <w:spacing w:line="405" w:lineRule="atLeast"/>
        <w:ind w:firstLine="640" w:firstLineChars="200"/>
        <w:jc w:val="left"/>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pP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（四）做好绩效自评。按要求开展上年度</w:t>
      </w:r>
      <w:r>
        <w:rPr>
          <w:rFonts w:hint="eastAsia" w:ascii="仿宋_GB2312" w:hAnsi="Arial" w:eastAsia="仿宋_GB2312" w:cs="仿宋_GB2312"/>
          <w:color w:val="000000" w:themeColor="text1"/>
          <w:kern w:val="0"/>
          <w:sz w:val="32"/>
          <w:szCs w:val="32"/>
          <w:highlight w:val="none"/>
          <w:shd w:val="clear" w:color="auto" w:fill="FFFFFF"/>
          <w:lang w:eastAsia="zh-CN"/>
          <w14:textFill>
            <w14:solidFill>
              <w14:schemeClr w14:val="tx1"/>
            </w14:solidFill>
          </w14:textFill>
        </w:rPr>
        <w:t>单位</w:t>
      </w: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预算绩效自评和重点评价工作，对评价中发现的问题及时整改，调整优化支出结构，提高财政资金使用效益。</w:t>
      </w:r>
    </w:p>
    <w:p>
      <w:pPr>
        <w:spacing w:line="405" w:lineRule="atLeast"/>
        <w:ind w:firstLine="640" w:firstLineChars="200"/>
        <w:jc w:val="left"/>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pP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（五）规范财务资产管理。完善财务管理制度，严格审批程序，加强固定资产登记、使用和报废处置管理，做到支出合理，物尽其用。</w:t>
      </w:r>
    </w:p>
    <w:p>
      <w:pPr>
        <w:spacing w:line="405" w:lineRule="atLeast"/>
        <w:ind w:firstLine="640" w:firstLineChars="200"/>
        <w:jc w:val="left"/>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pP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405" w:lineRule="atLeast"/>
        <w:ind w:firstLine="640" w:firstLineChars="200"/>
        <w:jc w:val="left"/>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pP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（七）加强宣传培训调研等。加强人员培训，提高本</w:t>
      </w:r>
      <w:r>
        <w:rPr>
          <w:rFonts w:hint="eastAsia" w:ascii="仿宋_GB2312" w:hAnsi="Arial" w:eastAsia="仿宋_GB2312" w:cs="仿宋_GB2312"/>
          <w:color w:val="000000" w:themeColor="text1"/>
          <w:kern w:val="0"/>
          <w:sz w:val="32"/>
          <w:szCs w:val="32"/>
          <w:highlight w:val="none"/>
          <w:shd w:val="clear" w:color="auto" w:fill="FFFFFF"/>
          <w:lang w:eastAsia="zh-CN"/>
          <w14:textFill>
            <w14:solidFill>
              <w14:schemeClr w14:val="tx1"/>
            </w14:solidFill>
          </w14:textFill>
        </w:rPr>
        <w:t>单位</w:t>
      </w:r>
      <w:r>
        <w:rPr>
          <w:rFonts w:ascii="仿宋_GB2312" w:hAnsi="Arial" w:eastAsia="仿宋_GB2312" w:cs="仿宋_GB2312"/>
          <w:color w:val="000000" w:themeColor="text1"/>
          <w:kern w:val="0"/>
          <w:sz w:val="32"/>
          <w:szCs w:val="32"/>
          <w:highlight w:val="none"/>
          <w:shd w:val="clear" w:color="auto" w:fill="FFFFFF"/>
          <w14:textFill>
            <w14:solidFill>
              <w14:schemeClr w14:val="tx1"/>
            </w14:solidFill>
          </w14:textFill>
        </w:rPr>
        <w:t>职工业务素质；加强调研，提出优化财政资金配置、提高资金使用效益的意见；加大宣传力度，强化预算绩效管理意识，促进预算绩效管理水平进一步提升。</w:t>
      </w:r>
    </w:p>
    <w:p>
      <w:pPr>
        <w:spacing w:before="0" w:after="0"/>
        <w:jc w:val="left"/>
        <w:outlineLvl w:val="3"/>
        <w:rPr>
          <w:rFonts w:hint="eastAsia" w:ascii="方正仿宋_GBK" w:hAnsi="方正仿宋_GBK" w:eastAsia="方正仿宋_GBK" w:cs="方正仿宋_GBK"/>
          <w:color w:val="000000"/>
          <w:sz w:val="28"/>
          <w:lang w:val="en-US" w:eastAsia="zh-CN"/>
        </w:rPr>
      </w:pPr>
    </w:p>
    <w:bookmarkEnd w:id="0"/>
    <w:p>
      <w:pPr>
        <w:sectPr>
          <w:pgSz w:w="16840" w:h="11900" w:orient="landscape"/>
          <w:pgMar w:top="1304" w:right="1984" w:bottom="1304" w:left="1134" w:header="720" w:footer="720" w:gutter="0"/>
          <w:cols w:space="720" w:num="1"/>
        </w:sectPr>
      </w:pPr>
    </w:p>
    <w:p/>
    <w:p>
      <w:pPr>
        <w:spacing w:before="156" w:beforeLines="50" w:after="156" w:afterLines="50"/>
        <w:ind w:firstLine="640" w:firstLineChars="200"/>
        <w:jc w:val="left"/>
        <w:rPr>
          <w:rFonts w:hint="eastAsia" w:ascii="Times New Roman" w:hAnsi="宋体"/>
          <w:sz w:val="32"/>
        </w:rPr>
      </w:pPr>
      <w:r>
        <w:rPr>
          <w:rFonts w:hint="eastAsia" w:ascii="黑体" w:eastAsia="黑体"/>
          <w:sz w:val="32"/>
        </w:rPr>
        <w:t>六、政府采购预算情况</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202</w:t>
      </w:r>
      <w:r>
        <w:rPr>
          <w:rFonts w:hint="eastAsia" w:ascii="Times New Roman" w:eastAsia="方正仿宋_GBK"/>
          <w:sz w:val="28"/>
          <w:lang w:val="en-US" w:eastAsia="zh-CN"/>
        </w:rPr>
        <w:t>3</w:t>
      </w:r>
      <w:r>
        <w:rPr>
          <w:rFonts w:hint="eastAsia" w:ascii="Times New Roman" w:eastAsia="方正仿宋_GBK"/>
          <w:sz w:val="28"/>
        </w:rPr>
        <w:t>年，文安县环境卫生管理服务中心安排政府采购预算0.00万元。</w:t>
      </w:r>
    </w:p>
    <w:p>
      <w:pPr>
        <w:jc w:val="center"/>
        <w:rPr>
          <w:rFonts w:hint="eastAsia" w:ascii="Times New Roman" w:hAnsi="宋体"/>
          <w:sz w:val="36"/>
        </w:rPr>
      </w:pPr>
      <w:r>
        <w:rPr>
          <w:rFonts w:hint="eastAsia" w:ascii="方正小标宋_GBK" w:eastAsia="方正小标宋_GBK"/>
          <w:sz w:val="36"/>
        </w:rPr>
        <w:t>单位政府采购预算</w:t>
      </w:r>
    </w:p>
    <w:tbl>
      <w:tblPr>
        <w:tblStyle w:val="9"/>
        <w:tblW w:w="144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63"/>
        <w:gridCol w:w="1632"/>
        <w:gridCol w:w="1144"/>
        <w:gridCol w:w="1096"/>
        <w:gridCol w:w="907"/>
        <w:gridCol w:w="907"/>
        <w:gridCol w:w="933"/>
        <w:gridCol w:w="1335"/>
        <w:gridCol w:w="1134"/>
        <w:gridCol w:w="1134"/>
        <w:gridCol w:w="1134"/>
        <w:gridCol w:w="8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950"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150003</w:t>
            </w:r>
            <w:r>
              <w:rPr>
                <w:rFonts w:hint="eastAsia" w:ascii="方正小标宋_GBK" w:eastAsia="方正小标宋_GBK"/>
                <w:sz w:val="24"/>
              </w:rPr>
              <w:t>文安县环境卫生管理服务中心</w:t>
            </w:r>
          </w:p>
        </w:tc>
        <w:tc>
          <w:tcPr>
            <w:tcW w:w="6483"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26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632"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4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109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483"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101"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63"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632" w:type="dxa"/>
            <w:vMerge w:val="continue"/>
            <w:noWrap w:val="0"/>
            <w:vAlign w:val="center"/>
          </w:tcPr>
          <w:p>
            <w:pPr>
              <w:spacing w:line="300" w:lineRule="exact"/>
              <w:jc w:val="left"/>
            </w:pPr>
          </w:p>
        </w:tc>
        <w:tc>
          <w:tcPr>
            <w:tcW w:w="1144" w:type="dxa"/>
            <w:vMerge w:val="continue"/>
            <w:noWrap w:val="0"/>
            <w:vAlign w:val="center"/>
          </w:tcPr>
          <w:p>
            <w:pPr>
              <w:spacing w:line="300" w:lineRule="exact"/>
              <w:jc w:val="left"/>
            </w:pPr>
          </w:p>
        </w:tc>
        <w:tc>
          <w:tcPr>
            <w:tcW w:w="1096"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933"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35"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13"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01" w:type="dxa"/>
            <w:noWrap w:val="0"/>
            <w:vAlign w:val="center"/>
          </w:tcPr>
          <w:p>
            <w:pPr>
              <w:spacing w:line="300" w:lineRule="exact"/>
              <w:jc w:val="center"/>
              <w:rPr>
                <w:rFonts w:hint="eastAsia" w:ascii="方正书宋_GBK" w:eastAsia="方正书宋_GBK"/>
                <w:b/>
                <w:lang w:eastAsia="zh-CN"/>
              </w:rPr>
            </w:pPr>
            <w:r>
              <w:rPr>
                <w:rFonts w:hint="eastAsia" w:ascii="方正书宋_GBK" w:eastAsia="方正书宋_GBK"/>
                <w:b/>
                <w:lang w:eastAsia="zh-CN"/>
              </w:rPr>
              <w:t>无</w:t>
            </w:r>
          </w:p>
        </w:tc>
        <w:tc>
          <w:tcPr>
            <w:tcW w:w="1163" w:type="dxa"/>
            <w:noWrap w:val="0"/>
            <w:vAlign w:val="center"/>
          </w:tcPr>
          <w:p>
            <w:pPr>
              <w:spacing w:line="300" w:lineRule="exact"/>
              <w:jc w:val="right"/>
              <w:rPr>
                <w:rFonts w:ascii="方正书宋_GBK" w:eastAsia="方正书宋_GBK"/>
                <w:b/>
              </w:rPr>
            </w:pPr>
          </w:p>
        </w:tc>
        <w:tc>
          <w:tcPr>
            <w:tcW w:w="1632" w:type="dxa"/>
            <w:noWrap w:val="0"/>
            <w:vAlign w:val="center"/>
          </w:tcPr>
          <w:p>
            <w:pPr>
              <w:spacing w:line="300" w:lineRule="exact"/>
              <w:jc w:val="left"/>
              <w:rPr>
                <w:rFonts w:ascii="方正书宋_GBK" w:eastAsia="方正书宋_GBK"/>
                <w:b/>
              </w:rPr>
            </w:pPr>
          </w:p>
        </w:tc>
        <w:tc>
          <w:tcPr>
            <w:tcW w:w="1144" w:type="dxa"/>
            <w:noWrap w:val="0"/>
            <w:vAlign w:val="center"/>
          </w:tcPr>
          <w:p>
            <w:pPr>
              <w:spacing w:line="300" w:lineRule="exact"/>
              <w:jc w:val="left"/>
              <w:rPr>
                <w:rFonts w:ascii="方正书宋_GBK" w:eastAsia="方正书宋_GBK"/>
                <w:b/>
              </w:rPr>
            </w:pPr>
          </w:p>
        </w:tc>
        <w:tc>
          <w:tcPr>
            <w:tcW w:w="1096"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33" w:type="dxa"/>
            <w:noWrap w:val="0"/>
            <w:vAlign w:val="center"/>
          </w:tcPr>
          <w:p>
            <w:pPr>
              <w:spacing w:line="300" w:lineRule="exact"/>
              <w:jc w:val="right"/>
              <w:rPr>
                <w:rFonts w:ascii="方正书宋_GBK" w:eastAsia="方正书宋_GBK"/>
                <w:b/>
              </w:rPr>
            </w:pPr>
          </w:p>
        </w:tc>
        <w:tc>
          <w:tcPr>
            <w:tcW w:w="1335"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813"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注：无政府采购预算，空表列示。</w:t>
      </w:r>
    </w:p>
    <w:p>
      <w:pPr>
        <w:spacing w:line="584" w:lineRule="exact"/>
        <w:jc w:val="left"/>
        <w:outlineLvl w:val="0"/>
        <w:rPr>
          <w:rFonts w:ascii="Times New Roman" w:hAnsi="Times New Roman" w:eastAsia="仿宋_GB2312" w:cs="Times New Roman"/>
        </w:rPr>
        <w:sectPr>
          <w:footerReference r:id="rId3" w:type="default"/>
          <w:pgSz w:w="16838" w:h="11905" w:orient="landscape"/>
          <w:pgMar w:top="1361" w:right="1020" w:bottom="1361" w:left="1020" w:header="851" w:footer="992" w:gutter="0"/>
          <w:cols w:space="0" w:num="1"/>
          <w:rtlGutter w:val="0"/>
          <w:docGrid w:type="lines" w:linePitch="316"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文安县环境卫生管理服务中心</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19.2596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文安县环境卫生管理服务中心</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文安县环境卫生管理服务中心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19.2596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5.2996</w:t>
            </w:r>
          </w:p>
          <w:p>
            <w:pPr>
              <w:spacing w:line="584" w:lineRule="exact"/>
              <w:jc w:val="center"/>
              <w:rPr>
                <w:rFonts w:hint="default" w:ascii="Times New Roman" w:hAnsi="Times New Roman" w:eastAsia="仿宋_GB2312" w:cs="Times New Roman"/>
                <w:sz w:val="22"/>
                <w:lang w:val="en-US" w:eastAsia="zh-C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5" w:orient="landscape"/>
      <w:pgMar w:top="1361" w:right="1020" w:bottom="1361" w:left="1020"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B1530"/>
    <w:multiLevelType w:val="singleLevel"/>
    <w:tmpl w:val="932B153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jA4ZDM0N2VlMmYyOTI4Mjg2MGEwMGRiZDZkMjgifQ=="/>
  </w:docVars>
  <w:rsids>
    <w:rsidRoot w:val="00D347CC"/>
    <w:rsid w:val="00024592"/>
    <w:rsid w:val="004A54AA"/>
    <w:rsid w:val="008F75EB"/>
    <w:rsid w:val="00A706FE"/>
    <w:rsid w:val="00B7571D"/>
    <w:rsid w:val="00B80935"/>
    <w:rsid w:val="00D347CC"/>
    <w:rsid w:val="02FF6F56"/>
    <w:rsid w:val="054C1B39"/>
    <w:rsid w:val="073D7728"/>
    <w:rsid w:val="100D64F8"/>
    <w:rsid w:val="240C2812"/>
    <w:rsid w:val="24F24CFA"/>
    <w:rsid w:val="25A32A54"/>
    <w:rsid w:val="315B1F54"/>
    <w:rsid w:val="3558688D"/>
    <w:rsid w:val="379E0292"/>
    <w:rsid w:val="3A214CF2"/>
    <w:rsid w:val="3E923380"/>
    <w:rsid w:val="45C75034"/>
    <w:rsid w:val="4A18633F"/>
    <w:rsid w:val="4A353450"/>
    <w:rsid w:val="4EC558D3"/>
    <w:rsid w:val="578A3B8B"/>
    <w:rsid w:val="60D7247E"/>
    <w:rsid w:val="60E007BF"/>
    <w:rsid w:val="625711B6"/>
    <w:rsid w:val="63245A0D"/>
    <w:rsid w:val="66625CEC"/>
    <w:rsid w:val="70B33E4A"/>
    <w:rsid w:val="70D165C0"/>
    <w:rsid w:val="727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qFormat/>
    <w:uiPriority w:val="0"/>
    <w:pPr>
      <w:widowControl/>
      <w:jc w:val="left"/>
    </w:pPr>
    <w:rPr>
      <w:rFonts w:ascii="宋体" w:hAnsi="宋体" w:cs="宋体"/>
      <w:kern w:val="0"/>
      <w:sz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2478</Words>
  <Characters>2591</Characters>
  <Lines>23</Lines>
  <Paragraphs>6</Paragraphs>
  <TotalTime>13</TotalTime>
  <ScaleCrop>false</ScaleCrop>
  <LinksUpToDate>false</LinksUpToDate>
  <CharactersWithSpaces>2599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2023-05-10T07:30:32Z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05C8B93F34774BCB9DA1FA0149B1DB96</vt:lpwstr>
  </property>
</Properties>
</file>